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35" w:rsidRDefault="00AF0235" w:rsidP="00AF0235">
      <w:pPr>
        <w:jc w:val="right"/>
      </w:pPr>
      <w:bookmarkStart w:id="0" w:name="_GoBack"/>
      <w:bookmarkEnd w:id="0"/>
      <w:r>
        <w:t xml:space="preserve">12 Temmuz 2021 </w:t>
      </w:r>
    </w:p>
    <w:p w:rsidR="00AF0235" w:rsidRDefault="00AF0235" w:rsidP="00AF0235">
      <w:pPr>
        <w:rPr>
          <w:b/>
        </w:rPr>
      </w:pPr>
      <w:r w:rsidRPr="009E6CA5">
        <w:rPr>
          <w:b/>
        </w:rPr>
        <w:t>SAĞLIK BAKANLIĞI</w:t>
      </w:r>
    </w:p>
    <w:p w:rsidR="00AF0235" w:rsidRPr="00830D39" w:rsidRDefault="00AF0235" w:rsidP="00AF0235">
      <w:pPr>
        <w:rPr>
          <w:b/>
          <w:sz w:val="28"/>
          <w:szCs w:val="28"/>
        </w:rPr>
      </w:pPr>
      <w:r w:rsidRPr="00830D39">
        <w:rPr>
          <w:b/>
          <w:sz w:val="28"/>
          <w:szCs w:val="28"/>
        </w:rPr>
        <w:t>45/2018 Bulaşıcı Hastalıklar Yasası Kapsamında Toplanan Bulaşıcı Hastalıklar Üst Komitesi Tarafından</w:t>
      </w:r>
      <w:r>
        <w:rPr>
          <w:b/>
          <w:sz w:val="28"/>
          <w:szCs w:val="28"/>
        </w:rPr>
        <w:t xml:space="preserve"> Yeni</w:t>
      </w:r>
      <w:r w:rsidRPr="00830D39">
        <w:rPr>
          <w:b/>
          <w:sz w:val="28"/>
          <w:szCs w:val="28"/>
        </w:rPr>
        <w:t xml:space="preserve"> Alınan Kararlar </w:t>
      </w:r>
    </w:p>
    <w:p w:rsidR="00AF0235" w:rsidRDefault="00AF0235" w:rsidP="00AF0235"/>
    <w:p w:rsidR="00AF0235" w:rsidRDefault="00AF0235" w:rsidP="00AF0235">
      <w:r>
        <w:t xml:space="preserve">1 B) </w:t>
      </w:r>
      <w:r w:rsidRPr="00D3272B">
        <w:rPr>
          <w:b/>
        </w:rPr>
        <w:t>ÜLKE RENKLERİNE GÖRE UYGULANACAK KURALLAR</w:t>
      </w:r>
    </w:p>
    <w:p w:rsidR="00AF0235" w:rsidRDefault="00AF0235" w:rsidP="00AF0235"/>
    <w:p w:rsidR="00AF0235" w:rsidRDefault="00AF0235" w:rsidP="00AF0235">
      <w:r>
        <w:t>KOYU KIRMIZI;</w:t>
      </w:r>
    </w:p>
    <w:p w:rsidR="00AF0235" w:rsidRDefault="00AF0235" w:rsidP="00AF0235">
      <w:r>
        <w:t>-</w:t>
      </w:r>
      <w:r>
        <w:tab/>
        <w:t xml:space="preserve">Son 14 gün içerisinde bu ülkelere seyahat geçmişi olan kişilerin, ülkeye girişi yasaktır. </w:t>
      </w:r>
    </w:p>
    <w:p w:rsidR="00AF0235" w:rsidRDefault="00AF0235" w:rsidP="00AF0235">
      <w:r>
        <w:t>-</w:t>
      </w:r>
      <w:r>
        <w:tab/>
        <w:t xml:space="preserve">KKTC vatandaşları, son 72 saat ve adaya girişte negatif PCR test sonucu ve 14 gün karantina şartı ile Ülkeye giriş yapabileceklerdir. </w:t>
      </w:r>
    </w:p>
    <w:p w:rsidR="00AF0235" w:rsidRDefault="00AF0235" w:rsidP="00AF0235">
      <w:r>
        <w:t>-</w:t>
      </w:r>
      <w:r>
        <w:tab/>
      </w:r>
    </w:p>
    <w:p w:rsidR="00AF0235" w:rsidRDefault="00AF0235" w:rsidP="00AF0235"/>
    <w:p w:rsidR="00AF0235" w:rsidRDefault="00AF0235" w:rsidP="00AF0235">
      <w:r>
        <w:t>KIRMIZI;</w:t>
      </w:r>
    </w:p>
    <w:p w:rsidR="00AF0235" w:rsidRPr="00D3272B" w:rsidRDefault="00AF0235" w:rsidP="00AF0235">
      <w:pPr>
        <w:rPr>
          <w:b/>
        </w:rPr>
      </w:pPr>
      <w:r>
        <w:t>-</w:t>
      </w:r>
      <w:r>
        <w:tab/>
      </w:r>
      <w:r w:rsidRPr="00D3272B">
        <w:rPr>
          <w:b/>
        </w:rPr>
        <w:t>AŞILI veya HASTALIĞI GEÇİRMİŞ;</w:t>
      </w:r>
    </w:p>
    <w:p w:rsidR="00AF0235" w:rsidRPr="00D3272B" w:rsidRDefault="00AF0235" w:rsidP="00AF0235">
      <w:pPr>
        <w:rPr>
          <w:b/>
        </w:rPr>
      </w:pPr>
      <w:r w:rsidRPr="00D3272B">
        <w:rPr>
          <w:b/>
        </w:rPr>
        <w:t></w:t>
      </w:r>
      <w:r w:rsidRPr="00D3272B">
        <w:rPr>
          <w:b/>
        </w:rPr>
        <w:tab/>
        <w:t>Yolculuk öncesi Son 72 saat negatif PCR sonucu.</w:t>
      </w:r>
    </w:p>
    <w:p w:rsidR="00AF0235" w:rsidRPr="00D3272B" w:rsidRDefault="00AF0235" w:rsidP="00AF0235">
      <w:pPr>
        <w:rPr>
          <w:b/>
        </w:rPr>
      </w:pPr>
      <w:r w:rsidRPr="00D3272B">
        <w:rPr>
          <w:b/>
        </w:rPr>
        <w:t></w:t>
      </w:r>
      <w:r w:rsidRPr="00D3272B">
        <w:rPr>
          <w:b/>
        </w:rPr>
        <w:tab/>
        <w:t>3 Gün Karantina</w:t>
      </w:r>
    </w:p>
    <w:p w:rsidR="00AF0235" w:rsidRPr="00D3272B" w:rsidRDefault="00AF0235" w:rsidP="00AF0235">
      <w:pPr>
        <w:rPr>
          <w:b/>
        </w:rPr>
      </w:pPr>
      <w:proofErr w:type="spellStart"/>
      <w:proofErr w:type="gramStart"/>
      <w:r w:rsidRPr="00D3272B">
        <w:rPr>
          <w:b/>
        </w:rPr>
        <w:t>Not:İngiltere</w:t>
      </w:r>
      <w:proofErr w:type="spellEnd"/>
      <w:proofErr w:type="gramEnd"/>
      <w:r w:rsidRPr="00D3272B">
        <w:rPr>
          <w:b/>
        </w:rPr>
        <w:t xml:space="preserve"> (United </w:t>
      </w:r>
      <w:proofErr w:type="spellStart"/>
      <w:r w:rsidRPr="00D3272B">
        <w:rPr>
          <w:b/>
        </w:rPr>
        <w:t>Kingdom</w:t>
      </w:r>
      <w:proofErr w:type="spellEnd"/>
      <w:r w:rsidRPr="00D3272B">
        <w:rPr>
          <w:b/>
        </w:rPr>
        <w:t xml:space="preserve">) ülkesinden gelecek olan aşılı kişiler,  29.07.2021 tarihine kadar karantina uygulaması olmaksızın ülkeye giriş yapabileceklerdir.  Belirtilen tarihte yeniden değerlendirme yapılacaktır. </w:t>
      </w:r>
    </w:p>
    <w:p w:rsidR="00AF0235" w:rsidRPr="00D3272B" w:rsidRDefault="00AF0235" w:rsidP="00AF0235">
      <w:pPr>
        <w:rPr>
          <w:b/>
        </w:rPr>
      </w:pPr>
      <w:r w:rsidRPr="00D3272B">
        <w:rPr>
          <w:b/>
        </w:rPr>
        <w:t>-</w:t>
      </w:r>
      <w:r w:rsidRPr="00D3272B">
        <w:rPr>
          <w:b/>
        </w:rPr>
        <w:tab/>
        <w:t>AŞISIZ;</w:t>
      </w:r>
    </w:p>
    <w:p w:rsidR="00AF0235" w:rsidRPr="00D3272B" w:rsidRDefault="00AF0235" w:rsidP="00AF0235">
      <w:pPr>
        <w:rPr>
          <w:b/>
        </w:rPr>
      </w:pPr>
      <w:r w:rsidRPr="00D3272B">
        <w:rPr>
          <w:b/>
        </w:rPr>
        <w:t></w:t>
      </w:r>
      <w:r w:rsidRPr="00D3272B">
        <w:rPr>
          <w:b/>
        </w:rPr>
        <w:tab/>
        <w:t>Yolculuk öncesi son 72 saat negatif PCR sonucu.</w:t>
      </w:r>
    </w:p>
    <w:p w:rsidR="00AF0235" w:rsidRPr="00D3272B" w:rsidRDefault="00AF0235" w:rsidP="00AF0235">
      <w:pPr>
        <w:rPr>
          <w:b/>
        </w:rPr>
      </w:pPr>
      <w:r w:rsidRPr="00D3272B">
        <w:rPr>
          <w:b/>
        </w:rPr>
        <w:t>-</w:t>
      </w:r>
      <w:r w:rsidRPr="00D3272B">
        <w:rPr>
          <w:b/>
        </w:rPr>
        <w:tab/>
        <w:t xml:space="preserve">7 Gün karantina </w:t>
      </w:r>
    </w:p>
    <w:p w:rsidR="00AF0235" w:rsidRDefault="00AF0235" w:rsidP="00AF0235">
      <w:r>
        <w:t xml:space="preserve"> </w:t>
      </w:r>
    </w:p>
    <w:p w:rsidR="00AF0235" w:rsidRDefault="00AF0235" w:rsidP="00AF0235"/>
    <w:p w:rsidR="00AF0235" w:rsidRDefault="00AF0235" w:rsidP="00AF0235">
      <w:r>
        <w:t>TURUNCU;</w:t>
      </w:r>
    </w:p>
    <w:p w:rsidR="00AF0235" w:rsidRDefault="00AF0235" w:rsidP="00AF0235">
      <w:r>
        <w:t>-</w:t>
      </w:r>
      <w:r>
        <w:tab/>
        <w:t>AŞILI veya HASTALIĞI GEÇİRMİŞ;</w:t>
      </w:r>
    </w:p>
    <w:p w:rsidR="00AF0235" w:rsidRDefault="00AF0235" w:rsidP="00AF0235">
      <w:r>
        <w:t></w:t>
      </w:r>
      <w:r>
        <w:tab/>
        <w:t>Yolculuk öncesi Son 72 saat negatif PCR sonucu.</w:t>
      </w:r>
    </w:p>
    <w:p w:rsidR="00AF0235" w:rsidRDefault="00AF0235" w:rsidP="00AF0235">
      <w:r>
        <w:t></w:t>
      </w:r>
      <w:r>
        <w:tab/>
      </w:r>
      <w:proofErr w:type="spellStart"/>
      <w:r>
        <w:t>Karantinasız</w:t>
      </w:r>
      <w:proofErr w:type="spellEnd"/>
      <w:r>
        <w:t xml:space="preserve"> giriş</w:t>
      </w:r>
    </w:p>
    <w:p w:rsidR="00AF0235" w:rsidRDefault="00AF0235" w:rsidP="00AF0235">
      <w:r>
        <w:t>-</w:t>
      </w:r>
      <w:r>
        <w:tab/>
        <w:t>AŞISIZ;</w:t>
      </w:r>
    </w:p>
    <w:p w:rsidR="00AF0235" w:rsidRDefault="00AF0235" w:rsidP="00AF0235">
      <w:r>
        <w:t></w:t>
      </w:r>
      <w:r>
        <w:tab/>
        <w:t>Yolculuk öncesi son 72 saat negatif PCR sonucu.</w:t>
      </w:r>
    </w:p>
    <w:p w:rsidR="00AF0235" w:rsidRDefault="00AF0235" w:rsidP="00AF0235">
      <w:r>
        <w:t></w:t>
      </w:r>
      <w:r>
        <w:tab/>
        <w:t>5 Gün karantina.</w:t>
      </w:r>
    </w:p>
    <w:p w:rsidR="00AF0235" w:rsidRDefault="00AF0235" w:rsidP="00AF0235"/>
    <w:p w:rsidR="00AF0235" w:rsidRDefault="00AF0235" w:rsidP="00AF0235"/>
    <w:p w:rsidR="00AF0235" w:rsidRDefault="00AF0235" w:rsidP="00AF0235">
      <w:r>
        <w:t>YEŞİL;</w:t>
      </w:r>
    </w:p>
    <w:p w:rsidR="00AF0235" w:rsidRDefault="00AF0235" w:rsidP="00AF0235">
      <w:r>
        <w:t>-</w:t>
      </w:r>
      <w:r>
        <w:tab/>
        <w:t>AŞILI veya HASTALIĞI GEÇİRMİŞ;</w:t>
      </w:r>
    </w:p>
    <w:p w:rsidR="00AF0235" w:rsidRDefault="00AF0235" w:rsidP="00AF0235">
      <w:r>
        <w:t></w:t>
      </w:r>
      <w:r>
        <w:tab/>
        <w:t>Kısıtlama yok.</w:t>
      </w:r>
    </w:p>
    <w:p w:rsidR="00AF0235" w:rsidRDefault="00AF0235" w:rsidP="00AF0235">
      <w:r>
        <w:t>-</w:t>
      </w:r>
      <w:r>
        <w:tab/>
        <w:t>AŞISIZ;</w:t>
      </w:r>
    </w:p>
    <w:p w:rsidR="00AF0235" w:rsidRDefault="00AF0235" w:rsidP="00AF0235">
      <w:r>
        <w:t></w:t>
      </w:r>
      <w:r>
        <w:tab/>
        <w:t xml:space="preserve">Yolculuk öncesi son 72 saat negatif PCR sonucu. </w:t>
      </w:r>
      <w:proofErr w:type="spellStart"/>
      <w:r>
        <w:t>Karantinasız</w:t>
      </w:r>
      <w:proofErr w:type="spellEnd"/>
      <w:r>
        <w:t xml:space="preserve"> Giriş.</w:t>
      </w:r>
    </w:p>
    <w:p w:rsidR="00AF0235" w:rsidRDefault="00AF0235" w:rsidP="00AF0235"/>
    <w:p w:rsidR="00AF0235" w:rsidRDefault="00AF0235" w:rsidP="00AF0235"/>
    <w:p w:rsidR="00AF0235" w:rsidRDefault="00AF0235" w:rsidP="00AF0235">
      <w:r>
        <w:t>GRİ;</w:t>
      </w:r>
    </w:p>
    <w:p w:rsidR="00AF0235" w:rsidRDefault="00AF0235" w:rsidP="00AF0235">
      <w:r>
        <w:t>-</w:t>
      </w:r>
      <w:r>
        <w:tab/>
        <w:t>Aşılı olup olmadığına bakılmaksızın, yolculuk öncesi, son 72 saat negatif PCR sonucu ve 14 gün karantina şartı ile ülkeye giriş yapılabilecektir.</w:t>
      </w:r>
    </w:p>
    <w:p w:rsidR="00AF0235" w:rsidRDefault="00AF0235" w:rsidP="00AF0235"/>
    <w:p w:rsidR="00AF0235" w:rsidRDefault="00AF0235" w:rsidP="00AF0235"/>
    <w:p w:rsidR="00AF0235" w:rsidRDefault="00AF0235" w:rsidP="00AF0235">
      <w:r>
        <w:t>1 C) GENEL KURALLAR;</w:t>
      </w:r>
    </w:p>
    <w:p w:rsidR="00AF0235" w:rsidRDefault="00AF0235" w:rsidP="00AF0235"/>
    <w:p w:rsidR="00AF0235" w:rsidRDefault="00AF0235" w:rsidP="00AF0235">
      <w:pPr>
        <w:pStyle w:val="ListParagraph"/>
        <w:numPr>
          <w:ilvl w:val="0"/>
          <w:numId w:val="1"/>
        </w:numPr>
      </w:pPr>
      <w:r>
        <w:t>AŞILI KİŞİ: Aşı programını tamamlamış.</w:t>
      </w:r>
    </w:p>
    <w:p w:rsidR="00AF0235" w:rsidRDefault="00AF0235" w:rsidP="00AF0235">
      <w:pPr>
        <w:ind w:left="360"/>
      </w:pPr>
      <w:r>
        <w:t xml:space="preserve">       </w:t>
      </w:r>
      <w:proofErr w:type="gramStart"/>
      <w:r>
        <w:t>SINOVAC : 2DOZ</w:t>
      </w:r>
      <w:proofErr w:type="gramEnd"/>
    </w:p>
    <w:p w:rsidR="00AF0235" w:rsidRDefault="00AF0235" w:rsidP="00AF0235">
      <w:proofErr w:type="gramStart"/>
      <w:r>
        <w:t>o</w:t>
      </w:r>
      <w:proofErr w:type="gramEnd"/>
      <w:r>
        <w:tab/>
        <w:t>BIONTECH: 2 DOZ</w:t>
      </w:r>
    </w:p>
    <w:p w:rsidR="00AF0235" w:rsidRDefault="00AF0235" w:rsidP="00AF0235">
      <w:proofErr w:type="gramStart"/>
      <w:r>
        <w:t>o</w:t>
      </w:r>
      <w:proofErr w:type="gramEnd"/>
      <w:r>
        <w:tab/>
        <w:t>SINOPHARM: 2 DOZ</w:t>
      </w:r>
    </w:p>
    <w:p w:rsidR="00AF0235" w:rsidRDefault="00AF0235" w:rsidP="00AF0235">
      <w:proofErr w:type="gramStart"/>
      <w:r>
        <w:t>o</w:t>
      </w:r>
      <w:proofErr w:type="gramEnd"/>
      <w:r>
        <w:tab/>
        <w:t>COMIRNATY (Pfizer/</w:t>
      </w:r>
      <w:proofErr w:type="spellStart"/>
      <w:r>
        <w:t>Biontech</w:t>
      </w:r>
      <w:proofErr w:type="spellEnd"/>
      <w:r>
        <w:t>): 2 DOZ</w:t>
      </w:r>
    </w:p>
    <w:p w:rsidR="00AF0235" w:rsidRDefault="00AF0235" w:rsidP="00AF0235">
      <w:proofErr w:type="gramStart"/>
      <w:r>
        <w:t>o</w:t>
      </w:r>
      <w:proofErr w:type="gramEnd"/>
      <w:r>
        <w:tab/>
        <w:t>VAXZEVRIA (</w:t>
      </w:r>
      <w:proofErr w:type="spellStart"/>
      <w:r>
        <w:t>Astrazeneca</w:t>
      </w:r>
      <w:proofErr w:type="spellEnd"/>
      <w:r>
        <w:t>/Oxford): 2 DOZ</w:t>
      </w:r>
    </w:p>
    <w:p w:rsidR="00AF0235" w:rsidRDefault="00AF0235" w:rsidP="00AF0235">
      <w:proofErr w:type="gramStart"/>
      <w:r>
        <w:t>o</w:t>
      </w:r>
      <w:proofErr w:type="gramEnd"/>
      <w:r>
        <w:tab/>
        <w:t xml:space="preserve">COVID-19 </w:t>
      </w:r>
      <w:proofErr w:type="spellStart"/>
      <w:r>
        <w:t>Vaccine</w:t>
      </w:r>
      <w:proofErr w:type="spellEnd"/>
      <w:r>
        <w:t xml:space="preserve"> </w:t>
      </w:r>
      <w:proofErr w:type="spellStart"/>
      <w:r>
        <w:t>Janssen</w:t>
      </w:r>
      <w:proofErr w:type="spellEnd"/>
      <w:r>
        <w:t xml:space="preserve"> / Johnson </w:t>
      </w:r>
      <w:proofErr w:type="spellStart"/>
      <w:r>
        <w:t>and</w:t>
      </w:r>
      <w:proofErr w:type="spellEnd"/>
      <w:r>
        <w:t xml:space="preserve"> Johnson: 1 DOZ</w:t>
      </w:r>
    </w:p>
    <w:p w:rsidR="00AF0235" w:rsidRDefault="00AF0235" w:rsidP="00AF0235">
      <w:proofErr w:type="gramStart"/>
      <w:r>
        <w:t>o</w:t>
      </w:r>
      <w:proofErr w:type="gramEnd"/>
      <w:r>
        <w:tab/>
        <w:t>SPUTNIK V: 2 DOZ</w:t>
      </w:r>
    </w:p>
    <w:p w:rsidR="00AF0235" w:rsidRDefault="00AF0235" w:rsidP="00AF0235">
      <w:proofErr w:type="gramStart"/>
      <w:r>
        <w:t>o</w:t>
      </w:r>
      <w:proofErr w:type="gramEnd"/>
      <w:r>
        <w:tab/>
        <w:t>MODERNA: 2 DOZ</w:t>
      </w:r>
    </w:p>
    <w:p w:rsidR="00AF0235" w:rsidRDefault="00AF0235" w:rsidP="00AF0235">
      <w:r>
        <w:t>-</w:t>
      </w:r>
      <w:r>
        <w:tab/>
        <w:t>Kişiler yukarıda belirtilen aşılardan iki dozunu farklı aşı ile olmaları halinde aşılı kişi olarak değerlendirilecektir.</w:t>
      </w:r>
    </w:p>
    <w:p w:rsidR="00AF0235" w:rsidRDefault="00AF0235" w:rsidP="00AF0235">
      <w:r>
        <w:t>-</w:t>
      </w:r>
      <w:r>
        <w:tab/>
        <w:t xml:space="preserve">Covid-19 hastalığını geçirmiş ve üzerinden 6 ay geçmiş </w:t>
      </w:r>
      <w:proofErr w:type="gramStart"/>
      <w:r>
        <w:t>kişilerin  1</w:t>
      </w:r>
      <w:proofErr w:type="gramEnd"/>
      <w:r>
        <w:t xml:space="preserve"> doz RAPEL aşı yaptırmaları halinde aşılı kişi olarak değerlendirilecektir.</w:t>
      </w:r>
    </w:p>
    <w:p w:rsidR="00AF0235" w:rsidRDefault="00AF0235" w:rsidP="00AF0235"/>
    <w:p w:rsidR="00AF0235" w:rsidRDefault="00AF0235" w:rsidP="00AF0235">
      <w:r>
        <w:t>•</w:t>
      </w:r>
      <w:r>
        <w:tab/>
        <w:t>Hastalığı geçirmiş kişi: Seyahat öncesi 30-</w:t>
      </w:r>
      <w:proofErr w:type="gramStart"/>
      <w:r>
        <w:t>180  gün</w:t>
      </w:r>
      <w:proofErr w:type="gramEnd"/>
      <w:r>
        <w:t xml:space="preserve"> arasında pozitif PCR testi sonucu ibraz etmesi.  Bu kişiler aşılı kişi kapsamında değerlendirilecektir. </w:t>
      </w:r>
    </w:p>
    <w:p w:rsidR="00AF0235" w:rsidRDefault="00AF0235" w:rsidP="00AF0235"/>
    <w:p w:rsidR="00AF0235" w:rsidRDefault="00AF0235" w:rsidP="00AF0235">
      <w:r>
        <w:t>•</w:t>
      </w:r>
      <w:r>
        <w:tab/>
        <w:t xml:space="preserve">18 yaş altı çocuklar aşılı ve yukarıda tanımda hastalığı geçirmiş ebeveynleri </w:t>
      </w:r>
      <w:proofErr w:type="gramStart"/>
      <w:r>
        <w:t>ile,</w:t>
      </w:r>
      <w:proofErr w:type="gramEnd"/>
      <w:r>
        <w:t xml:space="preserve"> gelmiş oldukları ülke kategorisine göre, belirtilen PCR test kuralları (6 yaşını doldurmuş çocuklar)doğrultusunda ülkeye giriş yapabileceklerdir.</w:t>
      </w:r>
    </w:p>
    <w:p w:rsidR="00AF0235" w:rsidRDefault="00AF0235" w:rsidP="00AF0235"/>
    <w:p w:rsidR="00AF0235" w:rsidRDefault="00AF0235" w:rsidP="00AF0235"/>
    <w:p w:rsidR="00AF0235" w:rsidRDefault="00AF0235" w:rsidP="00AF0235">
      <w:r>
        <w:t>•</w:t>
      </w:r>
      <w:r>
        <w:tab/>
        <w:t>Yolcular son 10 gün içinde ayak bastıkları/ bulundukları ülkeler arasında en yüksek risk grubundaki ülkeye göre değerlendirileceklerdir.</w:t>
      </w:r>
    </w:p>
    <w:p w:rsidR="00AF0235" w:rsidRDefault="00AF0235" w:rsidP="00AF0235">
      <w:r>
        <w:t xml:space="preserve"> </w:t>
      </w:r>
    </w:p>
    <w:p w:rsidR="00AF0235" w:rsidRDefault="00AF0235" w:rsidP="00AF0235">
      <w:r>
        <w:t>•</w:t>
      </w:r>
      <w:r>
        <w:tab/>
        <w:t>Delta varyantının tüm ülkelerde yayılım göstermesi nedeni ile ülkemize gelecek kişilere aşılı olup olmadığına bakılmaksızın tüm giriş kapılarında Covid-19 testleri uygulanabilir. Bu uygulamadan Yeşil Renk ülkelerden gelen kişiler muaf olacaktır.</w:t>
      </w:r>
    </w:p>
    <w:p w:rsidR="00AF0235" w:rsidRDefault="00AF0235" w:rsidP="00AF0235"/>
    <w:p w:rsidR="00AF0235" w:rsidRDefault="00AF0235" w:rsidP="00AF0235">
      <w:r>
        <w:t>•</w:t>
      </w:r>
      <w:r>
        <w:tab/>
        <w:t>DELTA VARYANTI OLAN ÜLKELER:</w:t>
      </w:r>
    </w:p>
    <w:p w:rsidR="00AF0235" w:rsidRDefault="00AF0235" w:rsidP="00AF0235">
      <w:r>
        <w:t>-</w:t>
      </w:r>
      <w:r>
        <w:tab/>
        <w:t>“DELTA” Varyantı DSÖ tarafından “endişe uyandıran varyantlar (“</w:t>
      </w:r>
      <w:proofErr w:type="spellStart"/>
      <w:r>
        <w:t>Variant</w:t>
      </w:r>
      <w:proofErr w:type="spellEnd"/>
      <w:r>
        <w:t xml:space="preserve"> of </w:t>
      </w:r>
      <w:proofErr w:type="spellStart"/>
      <w:r>
        <w:t>Concern</w:t>
      </w:r>
      <w:proofErr w:type="spellEnd"/>
      <w:r>
        <w:t>”; VOC)” olarak değerlendirmeye alınmıştır. Bu varyantlar;</w:t>
      </w:r>
    </w:p>
    <w:p w:rsidR="00AF0235" w:rsidRDefault="00AF0235" w:rsidP="00AF0235">
      <w:r>
        <w:t>-</w:t>
      </w:r>
      <w:r>
        <w:tab/>
        <w:t xml:space="preserve"> Bulaşıcılığı artmış veya COVID-19 epidemiyolojisini olumsuz yönde etkileyebilecek varyantlar </w:t>
      </w:r>
    </w:p>
    <w:p w:rsidR="00AF0235" w:rsidRDefault="00AF0235" w:rsidP="00AF0235">
      <w:r>
        <w:t>-</w:t>
      </w:r>
      <w:r>
        <w:tab/>
      </w:r>
      <w:proofErr w:type="spellStart"/>
      <w:r>
        <w:t>Hastalandırıcılık</w:t>
      </w:r>
      <w:proofErr w:type="spellEnd"/>
      <w:r>
        <w:t xml:space="preserve"> özelliği artmış olabilecek ya da klinik tabloda değişikliğe yol açabilecek varyantlar veya </w:t>
      </w:r>
    </w:p>
    <w:p w:rsidR="00AF0235" w:rsidRDefault="00AF0235" w:rsidP="00AF0235">
      <w:r>
        <w:t>-</w:t>
      </w:r>
      <w:r>
        <w:tab/>
        <w:t xml:space="preserve">Halk sağlığı önlemlerinin etkinliğini azaltan ya da mevcut tanı testlerinin, aşı veya ilaçların </w:t>
      </w:r>
      <w:proofErr w:type="gramStart"/>
      <w:r>
        <w:t>etkinliğini   azaltabilecek</w:t>
      </w:r>
      <w:proofErr w:type="gramEnd"/>
      <w:r>
        <w:t xml:space="preserve"> varyantlar; olarak tanımlanırlar.</w:t>
      </w:r>
    </w:p>
    <w:p w:rsidR="00AF0235" w:rsidRDefault="00AF0235" w:rsidP="00AF0235"/>
    <w:p w:rsidR="00AF0235" w:rsidRDefault="00AF0235" w:rsidP="00AF0235"/>
    <w:p w:rsidR="00AF0235" w:rsidRPr="00D3272B" w:rsidRDefault="00AF0235" w:rsidP="00AF0235">
      <w:pPr>
        <w:rPr>
          <w:b/>
        </w:rPr>
      </w:pPr>
      <w:r>
        <w:t>2.</w:t>
      </w:r>
      <w:r>
        <w:tab/>
      </w:r>
      <w:r w:rsidRPr="00D3272B">
        <w:rPr>
          <w:b/>
        </w:rPr>
        <w:t>ADA İÇİ SINIR GEÇİŞ KURALLARI</w:t>
      </w:r>
    </w:p>
    <w:p w:rsidR="00AF0235" w:rsidRDefault="00AF0235" w:rsidP="00AF0235">
      <w:r>
        <w:t>-</w:t>
      </w:r>
      <w:r>
        <w:tab/>
        <w:t xml:space="preserve">Seviye 1: Test yok, kısıtlama yok </w:t>
      </w:r>
    </w:p>
    <w:p w:rsidR="00AF0235" w:rsidRDefault="00AF0235" w:rsidP="00AF0235">
      <w:r>
        <w:t>-</w:t>
      </w:r>
      <w:r>
        <w:tab/>
        <w:t xml:space="preserve">Seviye </w:t>
      </w:r>
      <w:proofErr w:type="gramStart"/>
      <w:r>
        <w:t>2 :7</w:t>
      </w:r>
      <w:proofErr w:type="gramEnd"/>
      <w:r>
        <w:t xml:space="preserve"> günde bir negatif Antijen veya PCR testi</w:t>
      </w:r>
    </w:p>
    <w:p w:rsidR="00AF0235" w:rsidRDefault="00AF0235" w:rsidP="00AF0235">
      <w:r>
        <w:t>-</w:t>
      </w:r>
      <w:r>
        <w:tab/>
        <w:t xml:space="preserve">Seviye 3: </w:t>
      </w:r>
      <w:proofErr w:type="spellStart"/>
      <w:r>
        <w:t>Sinovac</w:t>
      </w:r>
      <w:proofErr w:type="spellEnd"/>
      <w:r>
        <w:t xml:space="preserve">, </w:t>
      </w:r>
      <w:proofErr w:type="spellStart"/>
      <w:r>
        <w:t>Sinopharm</w:t>
      </w:r>
      <w:proofErr w:type="spellEnd"/>
      <w:r>
        <w:t xml:space="preserve"> veya </w:t>
      </w:r>
      <w:proofErr w:type="spellStart"/>
      <w:r>
        <w:t>Sputnik</w:t>
      </w:r>
      <w:proofErr w:type="spellEnd"/>
      <w:r>
        <w:t xml:space="preserve"> aşılarının yanı sıra EMA onaylı aşıları olan çift aşılı kişiler(Johnson&amp; Johnson ise 1. Doz aşı), son doz aşılarından 14 gün sonra 7 </w:t>
      </w:r>
      <w:proofErr w:type="gramStart"/>
      <w:r>
        <w:t>günlük  negatif</w:t>
      </w:r>
      <w:proofErr w:type="gramEnd"/>
      <w:r>
        <w:t xml:space="preserve"> hızlı antijen testi veya PCR testi ile geçebilirler. </w:t>
      </w:r>
    </w:p>
    <w:p w:rsidR="00AF0235" w:rsidRDefault="00AF0235" w:rsidP="00AF0235">
      <w:r>
        <w:t xml:space="preserve">" Aşısız kişiler 72 saat negatif hızlı antijen testi veya PCR testi (aşılanmamış işçiler ve sağlık amaçlı geçecek kişiler </w:t>
      </w:r>
      <w:proofErr w:type="gramStart"/>
      <w:r>
        <w:t>dahil</w:t>
      </w:r>
      <w:proofErr w:type="gramEnd"/>
      <w:r>
        <w:t xml:space="preserve">) ile geçebilirler.  </w:t>
      </w:r>
    </w:p>
    <w:p w:rsidR="00AF0235" w:rsidRDefault="00AF0235" w:rsidP="00AF0235">
      <w:r>
        <w:t xml:space="preserve">Ancak aşısız lise öğrencileri ve Kato </w:t>
      </w:r>
      <w:proofErr w:type="spellStart"/>
      <w:r>
        <w:t>Pyrgos'ta</w:t>
      </w:r>
      <w:proofErr w:type="spellEnd"/>
      <w:r>
        <w:t xml:space="preserve"> ikamet eden kişiler, 7 günlük hızlı negatif antijen testi veya PCR testi ile geçebileceklerdir.</w:t>
      </w:r>
    </w:p>
    <w:p w:rsidR="00AF0235" w:rsidRDefault="00AF0235" w:rsidP="00AF0235"/>
    <w:p w:rsidR="00AF0235" w:rsidRDefault="00AF0235" w:rsidP="00AF0235">
      <w:r>
        <w:t>*Yolcular son 10 gün içinde ayak bastıkları/ bulundukları ülkeler arasında en yüksek risk grubundaki ülkeye göre değerlendirileceklerdir.</w:t>
      </w:r>
    </w:p>
    <w:p w:rsidR="00AF0235" w:rsidRDefault="00AF0235" w:rsidP="00AF0235">
      <w:r>
        <w:t xml:space="preserve">* Güney Kıbrıs’a gelen kişiler 10 gün süre ile Güney Kıbrıs’ta bulunmaları halinde, koyu kırmızı ülkeler hariç, ada içi sınır geçiş kuralına haiz olacaklardır. </w:t>
      </w:r>
    </w:p>
    <w:p w:rsidR="00AF0235" w:rsidRDefault="00AF0235" w:rsidP="00AF0235">
      <w:r>
        <w:t>* Ülkemize Güney Kıbrıs’tan otobüs ile düzenlenecek turistik turlarda, turuncu ve sarı ülkeden gelen aşısız turistler son 24 saat içinde yapılmış negatif antijen testlerini veya son 72 saat içinde yapılmış negatif PCR testlerini ibraz etmeleri kaydı ile günübirlik geçiş yapabileceklerdir.</w:t>
      </w:r>
    </w:p>
    <w:p w:rsidR="00AF0235" w:rsidRDefault="00AF0235" w:rsidP="00AF0235"/>
    <w:tbl>
      <w:tblPr>
        <w:tblStyle w:val="KlavuzTablo1Ak1"/>
        <w:tblW w:w="8359" w:type="dxa"/>
        <w:tblLook w:val="04A0" w:firstRow="1" w:lastRow="0" w:firstColumn="1" w:lastColumn="0" w:noHBand="0" w:noVBand="1"/>
      </w:tblPr>
      <w:tblGrid>
        <w:gridCol w:w="4531"/>
        <w:gridCol w:w="3828"/>
      </w:tblGrid>
      <w:tr w:rsidR="00AF0235" w:rsidRPr="005D664C" w:rsidTr="009776A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jc w:val="center"/>
              <w:rPr>
                <w:rFonts w:ascii="Calibri" w:eastAsia="Times New Roman" w:hAnsi="Calibri" w:cs="Calibri"/>
                <w:color w:val="000000"/>
              </w:rPr>
            </w:pPr>
            <w:r w:rsidRPr="005D664C">
              <w:rPr>
                <w:rFonts w:ascii="Calibri" w:eastAsia="Times New Roman" w:hAnsi="Calibri" w:cs="Calibri"/>
                <w:color w:val="000000"/>
              </w:rPr>
              <w:t>PCR</w:t>
            </w:r>
          </w:p>
        </w:tc>
        <w:tc>
          <w:tcPr>
            <w:tcW w:w="3828" w:type="dxa"/>
            <w:noWrap/>
            <w:hideMark/>
          </w:tcPr>
          <w:p w:rsidR="00AF0235" w:rsidRPr="005D664C" w:rsidRDefault="00AF0235" w:rsidP="009776A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D664C">
              <w:rPr>
                <w:rFonts w:ascii="Calibri" w:eastAsia="Times New Roman" w:hAnsi="Calibri" w:cs="Calibri"/>
                <w:color w:val="000000"/>
              </w:rPr>
              <w:t>ANTİJEN</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 xml:space="preserve"> ÇALIŞANLARI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OKUL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ÖZEL EĞİTİM MERKEZİ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Pr>
                <w:rFonts w:ascii="Calibri" w:eastAsia="Times New Roman" w:hAnsi="Calibri" w:cs="Calibri"/>
                <w:b w:val="0"/>
                <w:bCs w:val="0"/>
                <w:i/>
                <w:iCs/>
                <w:color w:val="000000"/>
              </w:rPr>
              <w:t xml:space="preserve"> </w:t>
            </w:r>
            <w:r w:rsidRPr="00D3272B">
              <w:rPr>
                <w:rFonts w:ascii="Calibri" w:eastAsia="Times New Roman" w:hAnsi="Calibri" w:cs="Calibri"/>
                <w:b w:val="0"/>
                <w:bCs w:val="0"/>
                <w:i/>
                <w:iCs/>
                <w:color w:val="000000"/>
              </w:rPr>
              <w:t>ÇALIŞANLARI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 xml:space="preserve">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w:t>
            </w:r>
            <w:r w:rsidRPr="005D664C">
              <w:rPr>
                <w:rFonts w:ascii="Calibri" w:eastAsia="Times New Roman" w:hAnsi="Calibri" w:cs="Calibri"/>
                <w:b w:val="0"/>
                <w:bCs w:val="0"/>
                <w:i/>
                <w:iCs/>
                <w:color w:val="000000"/>
              </w:rPr>
              <w:t>NLARI</w:t>
            </w:r>
            <w:r>
              <w:rPr>
                <w:rFonts w:ascii="Calibri" w:eastAsia="Times New Roman" w:hAnsi="Calibri" w:cs="Calibri"/>
                <w:b w:val="0"/>
                <w:bCs w:val="0"/>
                <w:i/>
                <w:iCs/>
                <w:color w:val="000000"/>
              </w:rPr>
              <w:t xml:space="preserve"> </w:t>
            </w:r>
            <w:r w:rsidRPr="00D3272B">
              <w:rPr>
                <w:rFonts w:ascii="Calibri" w:eastAsia="Times New Roman" w:hAnsi="Calibri" w:cs="Calibri"/>
                <w:b w:val="0"/>
                <w:bCs w:val="0"/>
                <w:i/>
                <w:iCs/>
                <w:color w:val="000000"/>
              </w:rPr>
              <w:t>ÇALIŞANLARI</w:t>
            </w:r>
          </w:p>
        </w:tc>
        <w:tc>
          <w:tcPr>
            <w:tcW w:w="3828" w:type="dxa"/>
            <w:noWrap/>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Pr>
                <w:rFonts w:ascii="Calibri" w:eastAsia="Times New Roman" w:hAnsi="Calibri" w:cs="Calibri"/>
                <w:b w:val="0"/>
                <w:bCs w:val="0"/>
                <w:i/>
                <w:iCs/>
                <w:color w:val="000000"/>
              </w:rPr>
              <w:t>TAKIM SPORCULARI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D3272B">
              <w:rPr>
                <w:rFonts w:ascii="Calibri" w:eastAsia="Times New Roman" w:hAnsi="Calibri" w:cs="Calibri"/>
                <w:i/>
                <w:iCs/>
                <w:color w:val="000000"/>
              </w:rPr>
              <w:t>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Pr>
                <w:rFonts w:ascii="Calibri" w:eastAsia="Times New Roman" w:hAnsi="Calibri" w:cs="Calibri"/>
                <w:b w:val="0"/>
                <w:bCs w:val="0"/>
                <w:i/>
                <w:iCs/>
                <w:color w:val="000000"/>
              </w:rPr>
              <w:t>YÜZME SPORCULARI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t xml:space="preserve"> </w:t>
            </w:r>
            <w:r w:rsidRPr="00D3272B">
              <w:rPr>
                <w:rFonts w:ascii="Calibri" w:eastAsia="Times New Roman" w:hAnsi="Calibri" w:cs="Calibri"/>
                <w:i/>
                <w:iCs/>
                <w:color w:val="000000"/>
              </w:rPr>
              <w:t>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t xml:space="preserve"> </w:t>
            </w:r>
            <w:r w:rsidRPr="00D3272B">
              <w:rPr>
                <w:rFonts w:ascii="Calibri" w:eastAsia="Times New Roman" w:hAnsi="Calibri" w:cs="Calibri"/>
                <w:i/>
                <w:iCs/>
                <w:color w:val="000000"/>
              </w:rPr>
              <w:t>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Pr>
                <w:rFonts w:ascii="Calibri" w:eastAsia="Times New Roman" w:hAnsi="Calibri" w:cs="Calibri"/>
                <w:b w:val="0"/>
                <w:bCs w:val="0"/>
                <w:i/>
                <w:iCs/>
                <w:color w:val="000000"/>
              </w:rPr>
              <w:t>KAPALI ÇOCUK OYUN ALANI ÇALIŞANLARI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t xml:space="preserve"> </w:t>
            </w:r>
            <w:r w:rsidRPr="00D3272B">
              <w:rPr>
                <w:rFonts w:ascii="Calibri" w:eastAsia="Times New Roman" w:hAnsi="Calibri" w:cs="Calibri"/>
                <w:i/>
                <w:iCs/>
                <w:color w:val="000000"/>
              </w:rPr>
              <w:t>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Pr>
                <w:rFonts w:ascii="Calibri" w:eastAsia="Times New Roman" w:hAnsi="Calibri" w:cs="Calibri"/>
                <w:b w:val="0"/>
                <w:i/>
                <w:iCs/>
                <w:color w:val="000000"/>
              </w:rPr>
              <w:t>EĞLENCE/KONSER VE ORGANİZASYON GÖREVLİLERİ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FE7439">
              <w:rPr>
                <w:rFonts w:eastAsia="Times New Roman" w:cstheme="minorHAnsi"/>
                <w:i/>
                <w:iCs/>
              </w:rPr>
              <w:t>BANKALAR</w:t>
            </w:r>
            <w:r>
              <w:rPr>
                <w:rFonts w:eastAsia="Times New Roman" w:cstheme="minorHAnsi"/>
                <w:i/>
                <w:iCs/>
              </w:rPr>
              <w:t xml:space="preserve"> </w:t>
            </w:r>
            <w:r w:rsidRPr="00D3272B">
              <w:rPr>
                <w:rFonts w:eastAsia="Times New Roman" w:cstheme="minorHAnsi"/>
                <w:i/>
                <w:iCs/>
              </w:rPr>
              <w:t>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r>
              <w:rPr>
                <w:rFonts w:ascii="Calibri" w:eastAsia="Times New Roman" w:hAnsi="Calibri" w:cs="Calibri"/>
                <w:b w:val="0"/>
                <w:bCs w:val="0"/>
                <w:i/>
                <w:iCs/>
                <w:color w:val="000000"/>
              </w:rPr>
              <w:t>GECE KLÜPÜ ÇALIŞANLARI</w:t>
            </w:r>
          </w:p>
        </w:tc>
        <w:tc>
          <w:tcPr>
            <w:tcW w:w="3828" w:type="dxa"/>
            <w:noWrap/>
            <w:hideMark/>
          </w:tcPr>
          <w:p w:rsidR="00AF0235" w:rsidRPr="005D664C"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hideMark/>
          </w:tcPr>
          <w:p w:rsidR="00AF0235" w:rsidRPr="005D664C" w:rsidRDefault="00AF0235" w:rsidP="009776AF">
            <w:pPr>
              <w:rPr>
                <w:rFonts w:ascii="Calibri" w:eastAsia="Times New Roman" w:hAnsi="Calibri" w:cs="Calibri"/>
                <w:b w:val="0"/>
                <w:bCs w:val="0"/>
                <w:i/>
                <w:iCs/>
                <w:color w:val="000000"/>
              </w:rPr>
            </w:pPr>
          </w:p>
        </w:tc>
        <w:tc>
          <w:tcPr>
            <w:tcW w:w="3828" w:type="dxa"/>
            <w:noWrap/>
            <w:hideMark/>
          </w:tcPr>
          <w:p w:rsidR="00AF0235" w:rsidRPr="000322C9" w:rsidRDefault="00AF0235" w:rsidP="009776AF">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0322C9">
              <w:rPr>
                <w:rFonts w:eastAsia="Times New Roman" w:cs="Times New Roman"/>
                <w:i/>
                <w:iCs/>
              </w:rPr>
              <w:t>OFİS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tcPr>
          <w:p w:rsidR="00AF0235" w:rsidRPr="006E2AF8" w:rsidRDefault="00AF0235" w:rsidP="009776AF">
            <w:pPr>
              <w:rPr>
                <w:rFonts w:ascii="Calibri" w:eastAsia="Times New Roman" w:hAnsi="Calibri" w:cs="Calibri"/>
                <w:b w:val="0"/>
                <w:bCs w:val="0"/>
                <w:i/>
                <w:iCs/>
                <w:color w:val="000000"/>
              </w:rPr>
            </w:pPr>
          </w:p>
        </w:tc>
        <w:tc>
          <w:tcPr>
            <w:tcW w:w="3828" w:type="dxa"/>
            <w:noWrap/>
          </w:tcPr>
          <w:p w:rsidR="00AF0235" w:rsidRPr="007C457B"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bCs/>
                <w:i/>
                <w:iCs/>
                <w:color w:val="000000"/>
              </w:rPr>
              <w:t>DENİZ / GEZİ TEKNELERİNDE ÇALIŞANLAR</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tcPr>
          <w:p w:rsidR="00AF0235" w:rsidRPr="006E2AF8" w:rsidRDefault="00AF0235" w:rsidP="009776AF">
            <w:pPr>
              <w:rPr>
                <w:rFonts w:ascii="Calibri" w:eastAsia="Times New Roman" w:hAnsi="Calibri" w:cs="Calibri"/>
                <w:b w:val="0"/>
                <w:i/>
                <w:iCs/>
                <w:color w:val="000000"/>
              </w:rPr>
            </w:pPr>
          </w:p>
        </w:tc>
        <w:tc>
          <w:tcPr>
            <w:tcW w:w="3828" w:type="dxa"/>
            <w:noWrap/>
          </w:tcPr>
          <w:p w:rsidR="00AF0235" w:rsidRPr="007C457B"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7C457B">
              <w:rPr>
                <w:rFonts w:ascii="Calibri" w:eastAsia="Times New Roman" w:hAnsi="Calibri" w:cs="Calibri"/>
                <w:bCs/>
                <w:i/>
                <w:iCs/>
                <w:color w:val="000000"/>
              </w:rPr>
              <w:t>İŞÇİ YATI EVLERİ / LOJMAN</w:t>
            </w:r>
            <w:r>
              <w:rPr>
                <w:rFonts w:ascii="Calibri" w:eastAsia="Times New Roman" w:hAnsi="Calibri" w:cs="Calibri"/>
                <w:bCs/>
                <w:i/>
                <w:iCs/>
                <w:color w:val="000000"/>
              </w:rPr>
              <w:t>DA KALANLAR</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tcPr>
          <w:p w:rsidR="00AF0235" w:rsidRPr="006E2AF8" w:rsidRDefault="00AF0235" w:rsidP="009776AF">
            <w:pPr>
              <w:rPr>
                <w:rFonts w:ascii="Calibri" w:eastAsia="Times New Roman" w:hAnsi="Calibri" w:cs="Calibri"/>
                <w:b w:val="0"/>
                <w:i/>
                <w:iCs/>
                <w:color w:val="000000"/>
              </w:rPr>
            </w:pPr>
          </w:p>
        </w:tc>
        <w:tc>
          <w:tcPr>
            <w:tcW w:w="3828" w:type="dxa"/>
            <w:noWrap/>
          </w:tcPr>
          <w:p w:rsidR="00AF0235" w:rsidRPr="007C457B"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sidRPr="007C457B">
              <w:rPr>
                <w:rFonts w:ascii="Calibri" w:eastAsia="Times New Roman" w:hAnsi="Calibri" w:cs="Calibri"/>
                <w:bCs/>
                <w:i/>
                <w:iCs/>
                <w:color w:val="000000"/>
              </w:rPr>
              <w:t>ÜRETİM / FABRİKA</w:t>
            </w:r>
            <w:r>
              <w:rPr>
                <w:rFonts w:ascii="Calibri" w:eastAsia="Times New Roman" w:hAnsi="Calibri" w:cs="Calibri"/>
                <w:bCs/>
                <w:i/>
                <w:iCs/>
                <w:color w:val="000000"/>
              </w:rPr>
              <w:t xml:space="preserve">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tcPr>
          <w:p w:rsidR="00AF0235" w:rsidRPr="006E2AF8" w:rsidRDefault="00AF0235" w:rsidP="009776AF">
            <w:pPr>
              <w:rPr>
                <w:rFonts w:ascii="Calibri" w:eastAsia="Times New Roman" w:hAnsi="Calibri" w:cs="Calibri"/>
                <w:b w:val="0"/>
                <w:i/>
                <w:iCs/>
                <w:color w:val="000000"/>
              </w:rPr>
            </w:pPr>
          </w:p>
        </w:tc>
        <w:tc>
          <w:tcPr>
            <w:tcW w:w="3828" w:type="dxa"/>
            <w:noWrap/>
          </w:tcPr>
          <w:p w:rsidR="00AF0235" w:rsidRPr="007E2BF3"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7E2BF3">
              <w:rPr>
                <w:rFonts w:ascii="Calibri" w:eastAsia="Times New Roman" w:hAnsi="Calibri" w:cs="Calibri"/>
                <w:i/>
                <w:iCs/>
                <w:color w:val="000000"/>
              </w:rPr>
              <w:t xml:space="preserve">TOPLU </w:t>
            </w:r>
            <w:r>
              <w:rPr>
                <w:rFonts w:ascii="Calibri" w:eastAsia="Times New Roman" w:hAnsi="Calibri" w:cs="Calibri"/>
                <w:i/>
                <w:iCs/>
                <w:color w:val="000000"/>
              </w:rPr>
              <w:t>TAŞIMACILAR</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tcPr>
          <w:p w:rsidR="00AF0235" w:rsidRPr="006E2AF8" w:rsidRDefault="00AF0235" w:rsidP="009776AF">
            <w:pPr>
              <w:rPr>
                <w:rFonts w:ascii="Calibri" w:eastAsia="Times New Roman" w:hAnsi="Calibri" w:cs="Calibri"/>
                <w:b w:val="0"/>
                <w:i/>
                <w:iCs/>
                <w:color w:val="000000"/>
              </w:rPr>
            </w:pPr>
          </w:p>
        </w:tc>
        <w:tc>
          <w:tcPr>
            <w:tcW w:w="3828" w:type="dxa"/>
            <w:noWrap/>
          </w:tcPr>
          <w:p w:rsidR="00AF0235" w:rsidRPr="007E2BF3"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7E2BF3">
              <w:rPr>
                <w:rFonts w:ascii="Calibri" w:eastAsia="Times New Roman" w:hAnsi="Calibri" w:cs="Calibri"/>
                <w:i/>
                <w:iCs/>
                <w:color w:val="000000"/>
              </w:rPr>
              <w:t>İBADETHANEDE GÖREVLİ KİŞİLER</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tcPr>
          <w:p w:rsidR="00AF0235" w:rsidRPr="006E2AF8" w:rsidRDefault="00AF0235" w:rsidP="009776AF">
            <w:pPr>
              <w:rPr>
                <w:rFonts w:ascii="Calibri" w:eastAsia="Times New Roman" w:hAnsi="Calibri" w:cs="Calibri"/>
                <w:b w:val="0"/>
                <w:i/>
                <w:iCs/>
                <w:color w:val="000000"/>
              </w:rPr>
            </w:pPr>
          </w:p>
        </w:tc>
        <w:tc>
          <w:tcPr>
            <w:tcW w:w="3828" w:type="dxa"/>
            <w:noWrap/>
          </w:tcPr>
          <w:p w:rsidR="00AF0235" w:rsidRPr="005B532B"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B532B">
              <w:rPr>
                <w:rFonts w:ascii="Calibri" w:eastAsia="Times New Roman" w:hAnsi="Calibri" w:cs="Calibri"/>
                <w:i/>
                <w:iCs/>
                <w:color w:val="000000"/>
              </w:rPr>
              <w:t xml:space="preserve">İNTERNET </w:t>
            </w:r>
            <w:r>
              <w:rPr>
                <w:rFonts w:ascii="Calibri" w:eastAsia="Times New Roman" w:hAnsi="Calibri" w:cs="Calibri"/>
                <w:i/>
                <w:iCs/>
                <w:color w:val="000000"/>
              </w:rPr>
              <w:t>CAFÉ ÇALIŞANLARI</w:t>
            </w:r>
          </w:p>
        </w:tc>
      </w:tr>
      <w:tr w:rsidR="00AF0235" w:rsidRPr="005D664C" w:rsidTr="009776AF">
        <w:trPr>
          <w:trHeight w:val="288"/>
        </w:trPr>
        <w:tc>
          <w:tcPr>
            <w:cnfStyle w:val="001000000000" w:firstRow="0" w:lastRow="0" w:firstColumn="1" w:lastColumn="0" w:oddVBand="0" w:evenVBand="0" w:oddHBand="0" w:evenHBand="0" w:firstRowFirstColumn="0" w:firstRowLastColumn="0" w:lastRowFirstColumn="0" w:lastRowLastColumn="0"/>
            <w:tcW w:w="4531" w:type="dxa"/>
            <w:noWrap/>
          </w:tcPr>
          <w:p w:rsidR="00AF0235" w:rsidRPr="005D664C" w:rsidRDefault="00AF0235" w:rsidP="009776AF">
            <w:pPr>
              <w:rPr>
                <w:rFonts w:ascii="Calibri" w:eastAsia="Times New Roman" w:hAnsi="Calibri" w:cs="Calibri"/>
                <w:b w:val="0"/>
                <w:bCs w:val="0"/>
                <w:i/>
                <w:iCs/>
                <w:color w:val="000000"/>
              </w:rPr>
            </w:pPr>
          </w:p>
        </w:tc>
        <w:tc>
          <w:tcPr>
            <w:tcW w:w="3828" w:type="dxa"/>
            <w:noWrap/>
            <w:hideMark/>
          </w:tcPr>
          <w:p w:rsidR="00AF0235" w:rsidRPr="005B532B" w:rsidRDefault="00AF0235" w:rsidP="009776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BET OFİS ÇALIŞANLARI</w:t>
            </w:r>
          </w:p>
        </w:tc>
      </w:tr>
    </w:tbl>
    <w:p w:rsidR="00AF0235" w:rsidRDefault="00AF0235" w:rsidP="00AF0235">
      <w:pPr>
        <w:rPr>
          <w:b/>
        </w:rPr>
      </w:pPr>
      <w:r w:rsidRPr="001B7CE0">
        <w:rPr>
          <w:b/>
        </w:rPr>
        <w:t xml:space="preserve">Not: </w:t>
      </w:r>
      <w:r>
        <w:rPr>
          <w:b/>
        </w:rPr>
        <w:t xml:space="preserve">6 yaş üzeri öğrenciler </w:t>
      </w:r>
      <w:r w:rsidRPr="001B7CE0">
        <w:rPr>
          <w:b/>
        </w:rPr>
        <w:t>14 günde bir antijen testlerini yineleyecekler</w:t>
      </w:r>
    </w:p>
    <w:p w:rsidR="00AF0235" w:rsidRDefault="00AF0235" w:rsidP="00AF0235">
      <w:r w:rsidRPr="00A21EFC">
        <w:t>Not: Yukarıda tablodaki sektörler Sağlık Bakanlığı tarafından belirtilen yerlerde PCR veya antijen testlerini yaptıracaklardır.</w:t>
      </w:r>
    </w:p>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Default="00AF0235" w:rsidP="00AF0235"/>
    <w:p w:rsidR="00AF0235" w:rsidRPr="00A21EFC" w:rsidRDefault="00AF0235" w:rsidP="00AF0235">
      <w:pPr>
        <w:numPr>
          <w:ilvl w:val="0"/>
          <w:numId w:val="2"/>
        </w:numPr>
        <w:spacing w:after="200" w:line="276" w:lineRule="auto"/>
        <w:contextualSpacing/>
        <w:rPr>
          <w:rFonts w:ascii="Calibri" w:eastAsia="Calibri" w:hAnsi="Calibri" w:cs="Times New Roman"/>
          <w:b/>
          <w:bCs/>
          <w:sz w:val="26"/>
          <w:szCs w:val="26"/>
        </w:rPr>
      </w:pPr>
      <w:r w:rsidRPr="00A21EFC">
        <w:rPr>
          <w:rFonts w:ascii="Calibri" w:eastAsia="Calibri" w:hAnsi="Calibri" w:cs="Times New Roman"/>
          <w:b/>
          <w:bCs/>
          <w:sz w:val="26"/>
          <w:szCs w:val="26"/>
        </w:rPr>
        <w:t>Girişlerde AŞISIZ kişilerden Antijen veya PCR testi isteyecek sektörler</w:t>
      </w:r>
    </w:p>
    <w:tbl>
      <w:tblPr>
        <w:tblW w:w="9173" w:type="dxa"/>
        <w:tblInd w:w="-5" w:type="dxa"/>
        <w:tblCellMar>
          <w:left w:w="70" w:type="dxa"/>
          <w:right w:w="70" w:type="dxa"/>
        </w:tblCellMar>
        <w:tblLook w:val="04A0" w:firstRow="1" w:lastRow="0" w:firstColumn="1" w:lastColumn="0" w:noHBand="0" w:noVBand="1"/>
      </w:tblPr>
      <w:tblGrid>
        <w:gridCol w:w="9173"/>
      </w:tblGrid>
      <w:tr w:rsidR="00AF0235" w:rsidRPr="00A21EFC" w:rsidTr="009776AF">
        <w:trPr>
          <w:trHeight w:val="555"/>
        </w:trPr>
        <w:tc>
          <w:tcPr>
            <w:tcW w:w="9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Otel/</w:t>
            </w:r>
            <w:proofErr w:type="spellStart"/>
            <w:r w:rsidRPr="00A21EFC">
              <w:rPr>
                <w:rFonts w:ascii="Calibri" w:eastAsia="Times New Roman" w:hAnsi="Calibri" w:cs="Calibri"/>
                <w:b/>
                <w:bCs/>
                <w:color w:val="000000"/>
                <w:sz w:val="24"/>
                <w:szCs w:val="24"/>
                <w:lang w:eastAsia="tr-TR"/>
              </w:rPr>
              <w:t>casino</w:t>
            </w:r>
            <w:proofErr w:type="spellEnd"/>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Restoranların, pastanelerin, kafelerin ve meyhanelerin kapalı alanları</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proofErr w:type="gramStart"/>
            <w:r w:rsidRPr="00A21EFC">
              <w:rPr>
                <w:rFonts w:ascii="Calibri" w:eastAsia="Times New Roman" w:hAnsi="Calibri" w:cs="Calibri"/>
                <w:b/>
                <w:bCs/>
                <w:color w:val="000000"/>
                <w:sz w:val="24"/>
                <w:szCs w:val="24"/>
                <w:lang w:eastAsia="tr-TR"/>
              </w:rPr>
              <w:t>Bar  ve</w:t>
            </w:r>
            <w:proofErr w:type="gramEnd"/>
            <w:r w:rsidRPr="00A21EFC">
              <w:rPr>
                <w:rFonts w:ascii="Calibri" w:eastAsia="Times New Roman" w:hAnsi="Calibri" w:cs="Calibri"/>
                <w:b/>
                <w:bCs/>
                <w:color w:val="000000"/>
                <w:sz w:val="24"/>
                <w:szCs w:val="24"/>
                <w:lang w:eastAsia="tr-TR"/>
              </w:rPr>
              <w:t xml:space="preserve"> </w:t>
            </w:r>
            <w:proofErr w:type="spellStart"/>
            <w:r w:rsidRPr="00A21EFC">
              <w:rPr>
                <w:rFonts w:ascii="Calibri" w:eastAsia="Times New Roman" w:hAnsi="Calibri" w:cs="Calibri"/>
                <w:b/>
                <w:bCs/>
                <w:color w:val="000000"/>
                <w:sz w:val="24"/>
                <w:szCs w:val="24"/>
                <w:lang w:eastAsia="tr-TR"/>
              </w:rPr>
              <w:t>Clublar</w:t>
            </w:r>
            <w:proofErr w:type="spellEnd"/>
            <w:r w:rsidRPr="00A21EFC">
              <w:rPr>
                <w:rFonts w:ascii="Calibri" w:eastAsia="Times New Roman" w:hAnsi="Calibri" w:cs="Calibri"/>
                <w:b/>
                <w:bCs/>
                <w:color w:val="000000"/>
                <w:sz w:val="24"/>
                <w:szCs w:val="24"/>
                <w:lang w:eastAsia="tr-TR"/>
              </w:rPr>
              <w:t xml:space="preserve"> </w:t>
            </w:r>
          </w:p>
        </w:tc>
      </w:tr>
      <w:tr w:rsidR="00AF0235" w:rsidRPr="00A21EFC" w:rsidTr="009776AF">
        <w:trPr>
          <w:trHeight w:val="720"/>
        </w:trPr>
        <w:tc>
          <w:tcPr>
            <w:tcW w:w="9173" w:type="dxa"/>
            <w:tcBorders>
              <w:top w:val="nil"/>
              <w:left w:val="single" w:sz="4" w:space="0" w:color="auto"/>
              <w:bottom w:val="single" w:sz="4" w:space="0" w:color="auto"/>
              <w:right w:val="single" w:sz="4" w:space="0" w:color="auto"/>
            </w:tcBorders>
            <w:shd w:val="clear" w:color="auto" w:fill="auto"/>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 xml:space="preserve">Kahvehanelerin, kıraathanelerin, kafeteryaların ve </w:t>
            </w:r>
            <w:proofErr w:type="gramStart"/>
            <w:r w:rsidRPr="00A21EFC">
              <w:rPr>
                <w:rFonts w:ascii="Calibri" w:eastAsia="Times New Roman" w:hAnsi="Calibri" w:cs="Calibri"/>
                <w:b/>
                <w:bCs/>
                <w:color w:val="000000"/>
                <w:sz w:val="24"/>
                <w:szCs w:val="24"/>
                <w:lang w:eastAsia="tr-TR"/>
              </w:rPr>
              <w:t>lokallerin</w:t>
            </w:r>
            <w:proofErr w:type="gramEnd"/>
            <w:r w:rsidRPr="00A21EFC">
              <w:rPr>
                <w:rFonts w:ascii="Calibri" w:eastAsia="Times New Roman" w:hAnsi="Calibri" w:cs="Calibri"/>
                <w:b/>
                <w:bCs/>
                <w:color w:val="000000"/>
                <w:sz w:val="24"/>
                <w:szCs w:val="24"/>
                <w:lang w:eastAsia="tr-TR"/>
              </w:rPr>
              <w:t xml:space="preserve"> kapalı alanları</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İnternet kafeler</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Bet ofisler</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 xml:space="preserve">Gece </w:t>
            </w:r>
            <w:proofErr w:type="spellStart"/>
            <w:r w:rsidRPr="00A21EFC">
              <w:rPr>
                <w:rFonts w:ascii="Calibri" w:eastAsia="Times New Roman" w:hAnsi="Calibri" w:cs="Calibri"/>
                <w:b/>
                <w:bCs/>
                <w:color w:val="000000"/>
                <w:sz w:val="24"/>
                <w:szCs w:val="24"/>
                <w:lang w:eastAsia="tr-TR"/>
              </w:rPr>
              <w:t>Klübleri</w:t>
            </w:r>
            <w:proofErr w:type="spellEnd"/>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Profesyonel sanatçıların tiyatro/konser/sergi gösterileri</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Sinema salonları</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Kapalı ve açık spor salonları</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Yüzme havuzları</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Boks, güreş ve yakın dövüş spor müsabakaları</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Açık alanlarda yapılacak müsabakalar</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Kapalı spor salonları (</w:t>
            </w:r>
            <w:proofErr w:type="spellStart"/>
            <w:r w:rsidRPr="00A21EFC">
              <w:rPr>
                <w:rFonts w:ascii="Calibri" w:eastAsia="Times New Roman" w:hAnsi="Calibri" w:cs="Calibri"/>
                <w:b/>
                <w:bCs/>
                <w:color w:val="000000"/>
                <w:sz w:val="24"/>
                <w:szCs w:val="24"/>
                <w:lang w:eastAsia="tr-TR"/>
              </w:rPr>
              <w:t>fitness</w:t>
            </w:r>
            <w:proofErr w:type="spellEnd"/>
            <w:r w:rsidRPr="00A21EFC">
              <w:rPr>
                <w:rFonts w:ascii="Calibri" w:eastAsia="Times New Roman" w:hAnsi="Calibri" w:cs="Calibri"/>
                <w:b/>
                <w:bCs/>
                <w:color w:val="000000"/>
                <w:sz w:val="24"/>
                <w:szCs w:val="24"/>
                <w:lang w:eastAsia="tr-TR"/>
              </w:rPr>
              <w:t>, bireysel)</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Lunapark, tombala vb. etkinlikler</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Calibri" w:hAnsi="Calibri" w:cs="Times New Roman"/>
                <w:b/>
                <w:bCs/>
              </w:rPr>
              <w:t xml:space="preserve">Toplu yapılacak dans, </w:t>
            </w:r>
            <w:proofErr w:type="spellStart"/>
            <w:proofErr w:type="gramStart"/>
            <w:r w:rsidRPr="00A21EFC">
              <w:rPr>
                <w:rFonts w:ascii="Calibri" w:eastAsia="Calibri" w:hAnsi="Calibri" w:cs="Times New Roman"/>
                <w:b/>
                <w:bCs/>
              </w:rPr>
              <w:t>tören,festival</w:t>
            </w:r>
            <w:proofErr w:type="gramEnd"/>
            <w:r w:rsidRPr="00A21EFC">
              <w:rPr>
                <w:rFonts w:ascii="Calibri" w:eastAsia="Calibri" w:hAnsi="Calibri" w:cs="Times New Roman"/>
                <w:b/>
                <w:bCs/>
              </w:rPr>
              <w:t>,müzik</w:t>
            </w:r>
            <w:proofErr w:type="spellEnd"/>
            <w:r w:rsidRPr="00A21EFC">
              <w:rPr>
                <w:rFonts w:ascii="Calibri" w:eastAsia="Calibri" w:hAnsi="Calibri" w:cs="Times New Roman"/>
                <w:b/>
                <w:bCs/>
              </w:rPr>
              <w:t xml:space="preserve"> vb. etkinlikler</w:t>
            </w:r>
          </w:p>
        </w:tc>
      </w:tr>
      <w:tr w:rsidR="00AF0235" w:rsidRPr="00A21EFC" w:rsidTr="009776AF">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İbadethaneler</w:t>
            </w:r>
          </w:p>
        </w:tc>
      </w:tr>
      <w:tr w:rsidR="00AF0235" w:rsidRPr="00A21EFC" w:rsidTr="009776AF">
        <w:trPr>
          <w:trHeight w:val="1575"/>
        </w:trPr>
        <w:tc>
          <w:tcPr>
            <w:tcW w:w="9173" w:type="dxa"/>
            <w:tcBorders>
              <w:top w:val="nil"/>
              <w:left w:val="single" w:sz="4" w:space="0" w:color="auto"/>
              <w:bottom w:val="single" w:sz="4" w:space="0" w:color="auto"/>
              <w:right w:val="single" w:sz="4" w:space="0" w:color="auto"/>
            </w:tcBorders>
            <w:shd w:val="clear" w:color="auto" w:fill="auto"/>
            <w:vAlign w:val="center"/>
            <w:hideMark/>
          </w:tcPr>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 xml:space="preserve">-Yukarıda belirtilen sektörler girişlerde </w:t>
            </w:r>
            <w:r w:rsidRPr="00A21EFC">
              <w:rPr>
                <w:rFonts w:ascii="Calibri" w:eastAsia="Calibri" w:hAnsi="Calibri" w:cs="Times New Roman"/>
                <w:b/>
                <w:sz w:val="24"/>
                <w:szCs w:val="24"/>
              </w:rPr>
              <w:t xml:space="preserve">kişilerden aşısız olması halinde son 72 saat içerisinde antijen veya </w:t>
            </w:r>
            <w:proofErr w:type="gramStart"/>
            <w:r w:rsidRPr="00A21EFC">
              <w:rPr>
                <w:rFonts w:ascii="Calibri" w:eastAsia="Calibri" w:hAnsi="Calibri" w:cs="Times New Roman"/>
                <w:b/>
                <w:sz w:val="24"/>
                <w:szCs w:val="24"/>
              </w:rPr>
              <w:t xml:space="preserve">PCR </w:t>
            </w:r>
            <w:r w:rsidRPr="00A21EFC">
              <w:rPr>
                <w:rFonts w:ascii="Calibri" w:eastAsia="Times New Roman" w:hAnsi="Calibri" w:cs="Calibri"/>
                <w:b/>
                <w:bCs/>
                <w:color w:val="000000"/>
                <w:sz w:val="24"/>
                <w:szCs w:val="24"/>
                <w:lang w:eastAsia="tr-TR"/>
              </w:rPr>
              <w:t xml:space="preserve"> testi</w:t>
            </w:r>
            <w:proofErr w:type="gramEnd"/>
            <w:r w:rsidRPr="00A21EFC">
              <w:rPr>
                <w:rFonts w:ascii="Calibri" w:eastAsia="Times New Roman" w:hAnsi="Calibri" w:cs="Calibri"/>
                <w:b/>
                <w:bCs/>
                <w:color w:val="000000"/>
                <w:sz w:val="24"/>
                <w:szCs w:val="24"/>
                <w:lang w:eastAsia="tr-TR"/>
              </w:rPr>
              <w:t xml:space="preserve"> talep edecektir. </w:t>
            </w:r>
          </w:p>
          <w:p w:rsidR="00AF0235" w:rsidRPr="00A21EFC" w:rsidRDefault="00AF0235" w:rsidP="009776AF">
            <w:pPr>
              <w:spacing w:after="0" w:line="240" w:lineRule="auto"/>
              <w:rPr>
                <w:rFonts w:ascii="Calibri" w:eastAsia="Times New Roman" w:hAnsi="Calibri" w:cs="Calibri"/>
                <w:b/>
                <w:bCs/>
                <w:color w:val="000000"/>
                <w:sz w:val="24"/>
                <w:szCs w:val="24"/>
                <w:lang w:eastAsia="tr-TR"/>
              </w:rPr>
            </w:pPr>
          </w:p>
          <w:p w:rsidR="00AF0235" w:rsidRPr="00A21EFC" w:rsidRDefault="00AF0235" w:rsidP="009776AF">
            <w:pPr>
              <w:spacing w:after="0" w:line="240" w:lineRule="auto"/>
              <w:rPr>
                <w:rFonts w:ascii="Calibri" w:eastAsia="Times New Roman" w:hAnsi="Calibri" w:cs="Calibri"/>
                <w:b/>
                <w:bCs/>
                <w:color w:val="000000"/>
                <w:sz w:val="24"/>
                <w:szCs w:val="24"/>
                <w:lang w:eastAsia="tr-TR"/>
              </w:rPr>
            </w:pPr>
            <w:r w:rsidRPr="00A21EFC">
              <w:rPr>
                <w:rFonts w:ascii="Calibri" w:eastAsia="Times New Roman" w:hAnsi="Calibri" w:cs="Calibri"/>
                <w:b/>
                <w:bCs/>
                <w:color w:val="000000"/>
                <w:sz w:val="24"/>
                <w:szCs w:val="24"/>
                <w:lang w:eastAsia="tr-TR"/>
              </w:rPr>
              <w:t xml:space="preserve">-Aşılı kişilerden ve 30-180 gün arasında hastalığı geçirmiş kişilerden antijen veya PCR testi aranmayacaktır. </w:t>
            </w:r>
          </w:p>
          <w:p w:rsidR="00AF0235" w:rsidRPr="00A21EFC" w:rsidRDefault="00AF0235" w:rsidP="009776AF">
            <w:pPr>
              <w:spacing w:after="0" w:line="240" w:lineRule="auto"/>
              <w:rPr>
                <w:rFonts w:ascii="Calibri" w:eastAsia="Times New Roman" w:hAnsi="Calibri" w:cs="Calibri"/>
                <w:b/>
                <w:bCs/>
                <w:color w:val="000000"/>
                <w:sz w:val="24"/>
                <w:szCs w:val="24"/>
                <w:lang w:eastAsia="tr-TR"/>
              </w:rPr>
            </w:pPr>
          </w:p>
          <w:p w:rsidR="00AF0235" w:rsidRPr="00A21EFC" w:rsidRDefault="00AF0235" w:rsidP="009776AF">
            <w:pPr>
              <w:spacing w:after="0" w:line="240" w:lineRule="auto"/>
              <w:rPr>
                <w:rFonts w:ascii="Calibri" w:eastAsia="Times New Roman" w:hAnsi="Calibri" w:cs="Calibri"/>
                <w:b/>
                <w:bCs/>
                <w:color w:val="000000"/>
                <w:sz w:val="24"/>
                <w:szCs w:val="24"/>
                <w:lang w:eastAsia="tr-TR"/>
              </w:rPr>
            </w:pPr>
          </w:p>
        </w:tc>
      </w:tr>
    </w:tbl>
    <w:p w:rsidR="00AF0235" w:rsidRPr="00A21EFC" w:rsidRDefault="00AF0235" w:rsidP="00AF0235"/>
    <w:p w:rsidR="00F9039E" w:rsidRDefault="00F9039E"/>
    <w:sectPr w:rsidR="00F9039E" w:rsidSect="00C44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67D2C"/>
    <w:multiLevelType w:val="hybridMultilevel"/>
    <w:tmpl w:val="11A89776"/>
    <w:lvl w:ilvl="0" w:tplc="36CEDB6A">
      <w:start w:val="1"/>
      <w:numFmt w:val="bullet"/>
      <w:lvlText w:val=""/>
      <w:lvlJc w:val="left"/>
      <w:pPr>
        <w:ind w:left="1065" w:hanging="705"/>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35"/>
    <w:rsid w:val="0003752B"/>
    <w:rsid w:val="00702DA4"/>
    <w:rsid w:val="007D0EE9"/>
    <w:rsid w:val="00AF0235"/>
    <w:rsid w:val="00DA2BCF"/>
    <w:rsid w:val="00F90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4B796-6DFF-FB4F-B9CD-4046470D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35"/>
    <w:pPr>
      <w:ind w:left="720"/>
      <w:contextualSpacing/>
    </w:pPr>
  </w:style>
  <w:style w:type="table" w:customStyle="1" w:styleId="KlavuzTablo1Ak1">
    <w:name w:val="Kılavuz Tablo 1 Açık1"/>
    <w:basedOn w:val="TableNormal"/>
    <w:uiPriority w:val="46"/>
    <w:rsid w:val="00AF023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Fezile ÖKSÜZ</cp:lastModifiedBy>
  <cp:revision>2</cp:revision>
  <dcterms:created xsi:type="dcterms:W3CDTF">2021-07-12T15:39:00Z</dcterms:created>
  <dcterms:modified xsi:type="dcterms:W3CDTF">2021-07-12T15:39:00Z</dcterms:modified>
</cp:coreProperties>
</file>